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90" w:rsidRDefault="00FD433D" w:rsidP="00FD433D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3C17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 w:rsidRPr="00783C1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приказом </w:t>
      </w:r>
      <w:r w:rsidR="00E264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МУП </w:t>
      </w:r>
      <w:proofErr w:type="spellStart"/>
      <w:r w:rsidR="00E26490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proofErr w:type="gramStart"/>
      <w:r w:rsidR="00E26490">
        <w:rPr>
          <w:rFonts w:ascii="Times New Roman" w:hAnsi="Times New Roman" w:cs="Times New Roman"/>
          <w:b w:val="0"/>
          <w:color w:val="auto"/>
          <w:sz w:val="24"/>
          <w:szCs w:val="24"/>
        </w:rPr>
        <w:t>.А</w:t>
      </w:r>
      <w:proofErr w:type="gramEnd"/>
      <w:r w:rsidR="00E26490">
        <w:rPr>
          <w:rFonts w:ascii="Times New Roman" w:hAnsi="Times New Roman" w:cs="Times New Roman"/>
          <w:b w:val="0"/>
          <w:color w:val="auto"/>
          <w:sz w:val="24"/>
          <w:szCs w:val="24"/>
        </w:rPr>
        <w:t>страхани</w:t>
      </w:r>
      <w:proofErr w:type="spellEnd"/>
      <w:r w:rsidRPr="00783C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proofErr w:type="spellStart"/>
      <w:r w:rsidR="00E26490">
        <w:rPr>
          <w:rFonts w:ascii="Times New Roman" w:hAnsi="Times New Roman" w:cs="Times New Roman"/>
          <w:b w:val="0"/>
          <w:color w:val="auto"/>
          <w:sz w:val="24"/>
          <w:szCs w:val="24"/>
        </w:rPr>
        <w:t>Горэлектросеть</w:t>
      </w:r>
      <w:proofErr w:type="spellEnd"/>
      <w:r w:rsidRPr="00783C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          </w:t>
      </w:r>
    </w:p>
    <w:p w:rsidR="00FD433D" w:rsidRPr="00783C17" w:rsidRDefault="00FD433D" w:rsidP="00FD433D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3C17">
        <w:rPr>
          <w:rFonts w:ascii="Times New Roman" w:hAnsi="Times New Roman" w:cs="Times New Roman"/>
          <w:b w:val="0"/>
          <w:color w:val="auto"/>
          <w:sz w:val="24"/>
          <w:szCs w:val="24"/>
        </w:rPr>
        <w:t>от 2</w:t>
      </w:r>
      <w:r w:rsidR="00783C17" w:rsidRPr="00783C17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783C17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783C17" w:rsidRPr="00783C17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783C17">
        <w:rPr>
          <w:rFonts w:ascii="Times New Roman" w:hAnsi="Times New Roman" w:cs="Times New Roman"/>
          <w:b w:val="0"/>
          <w:color w:val="auto"/>
          <w:sz w:val="24"/>
          <w:szCs w:val="24"/>
        </w:rPr>
        <w:t>.1</w:t>
      </w:r>
      <w:r w:rsidR="00783C17" w:rsidRPr="00783C17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783C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 </w:t>
      </w:r>
      <w:r w:rsidR="00783C17" w:rsidRPr="00783C17">
        <w:rPr>
          <w:rFonts w:ascii="Times New Roman" w:hAnsi="Times New Roman" w:cs="Times New Roman"/>
          <w:b w:val="0"/>
          <w:color w:val="auto"/>
          <w:sz w:val="24"/>
          <w:szCs w:val="24"/>
        </w:rPr>
        <w:t>27.1-</w:t>
      </w:r>
      <w:proofErr w:type="gramStart"/>
      <w:r w:rsidR="00783C17" w:rsidRPr="00783C17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</w:p>
    <w:p w:rsidR="00D26658" w:rsidRPr="00783C17" w:rsidRDefault="00783C17" w:rsidP="00D2665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3C17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МУП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Г.Астрахани</w:t>
      </w:r>
      <w:proofErr w:type="spellEnd"/>
      <w:r w:rsidRPr="00783C17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Горэлектросеть</w:t>
      </w:r>
      <w:proofErr w:type="spellEnd"/>
      <w:r w:rsidR="000C69B2" w:rsidRPr="00783C1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C69B2" w:rsidRPr="00783C17" w:rsidRDefault="000C69B2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88" w:rsidRPr="00783C17" w:rsidRDefault="00783C17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17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МУП </w:t>
      </w:r>
      <w:proofErr w:type="spellStart"/>
      <w:r w:rsidRPr="00783C17">
        <w:rPr>
          <w:rFonts w:ascii="Times New Roman" w:hAnsi="Times New Roman" w:cs="Times New Roman"/>
          <w:b/>
          <w:sz w:val="24"/>
          <w:szCs w:val="24"/>
        </w:rPr>
        <w:t>Г.Астрахани</w:t>
      </w:r>
      <w:proofErr w:type="spellEnd"/>
      <w:r w:rsidRPr="00783C1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83C17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Pr="00783C17">
        <w:rPr>
          <w:rFonts w:ascii="Times New Roman" w:hAnsi="Times New Roman" w:cs="Times New Roman"/>
          <w:b/>
          <w:sz w:val="24"/>
          <w:szCs w:val="24"/>
        </w:rPr>
        <w:t>»</w:t>
      </w:r>
    </w:p>
    <w:p w:rsidR="005F2F3E" w:rsidRPr="00783C17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C17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783C17">
        <w:rPr>
          <w:rFonts w:ascii="Times New Roman" w:hAnsi="Times New Roman" w:cs="Times New Roman"/>
          <w:b/>
          <w:sz w:val="24"/>
          <w:szCs w:val="24"/>
        </w:rPr>
        <w:t xml:space="preserve"> устройств </w:t>
      </w:r>
      <w:r w:rsidR="0058149F" w:rsidRPr="00783C17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</w:t>
      </w:r>
      <w:r w:rsidR="00D26658" w:rsidRPr="00783C17">
        <w:rPr>
          <w:rFonts w:ascii="Times New Roman" w:hAnsi="Times New Roman" w:cs="Times New Roman"/>
          <w:b/>
          <w:sz w:val="24"/>
          <w:szCs w:val="24"/>
        </w:rPr>
        <w:br/>
      </w:r>
      <w:r w:rsidRPr="00783C17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783C17"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Pr="00783C17">
        <w:rPr>
          <w:rFonts w:ascii="Times New Roman" w:hAnsi="Times New Roman" w:cs="Times New Roman"/>
          <w:b/>
          <w:sz w:val="24"/>
          <w:szCs w:val="24"/>
        </w:rPr>
        <w:t>15</w:t>
      </w:r>
      <w:r w:rsidR="0058149F" w:rsidRPr="00783C17">
        <w:rPr>
          <w:rFonts w:ascii="Times New Roman" w:hAnsi="Times New Roman" w:cs="Times New Roman"/>
          <w:b/>
          <w:sz w:val="24"/>
          <w:szCs w:val="24"/>
        </w:rPr>
        <w:t>0</w:t>
      </w:r>
      <w:r w:rsidRPr="00783C17">
        <w:rPr>
          <w:rFonts w:ascii="Times New Roman" w:hAnsi="Times New Roman" w:cs="Times New Roman"/>
          <w:b/>
          <w:sz w:val="24"/>
          <w:szCs w:val="24"/>
        </w:rPr>
        <w:t xml:space="preserve"> кВт</w:t>
      </w:r>
      <w:r w:rsidR="0037161F" w:rsidRPr="00783C17">
        <w:rPr>
          <w:rFonts w:ascii="Times New Roman" w:hAnsi="Times New Roman" w:cs="Times New Roman"/>
          <w:b/>
          <w:sz w:val="24"/>
          <w:szCs w:val="24"/>
        </w:rPr>
        <w:t xml:space="preserve"> до 670 кВт</w:t>
      </w:r>
    </w:p>
    <w:p w:rsidR="00D26658" w:rsidRPr="00783C17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EEC" w:rsidRPr="00783C17" w:rsidRDefault="00783C17" w:rsidP="00D2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1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783C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783C17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783C17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783C17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783C17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proofErr w:type="spellStart"/>
      <w:r w:rsidR="00996EEC" w:rsidRPr="00783C1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96EEC" w:rsidRPr="00783C17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</w:t>
      </w:r>
      <w:r w:rsidR="0037161F" w:rsidRPr="00783C17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996EEC" w:rsidRPr="00783C17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783C17">
        <w:rPr>
          <w:rFonts w:ascii="Times New Roman" w:hAnsi="Times New Roman" w:cs="Times New Roman"/>
          <w:sz w:val="24"/>
          <w:szCs w:val="24"/>
        </w:rPr>
        <w:t xml:space="preserve">(с учетом ранее присоединенных в данной точке присоединения </w:t>
      </w:r>
      <w:proofErr w:type="spellStart"/>
      <w:r w:rsidR="00D26658" w:rsidRPr="00783C1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26658" w:rsidRPr="00783C17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D26658" w:rsidRPr="00783C17" w:rsidRDefault="00783C17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17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83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783C1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="00D26658" w:rsidRPr="00783C1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26658" w:rsidRPr="00783C17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свыше 150 кВт и менее 670 к</w:t>
      </w:r>
      <w:proofErr w:type="gramStart"/>
      <w:r w:rsidR="00D26658" w:rsidRPr="00783C17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D26658" w:rsidRPr="00783C17">
        <w:rPr>
          <w:rFonts w:ascii="Times New Roman" w:hAnsi="Times New Roman" w:cs="Times New Roman"/>
          <w:sz w:val="24"/>
          <w:szCs w:val="24"/>
        </w:rPr>
        <w:t xml:space="preserve">ючительно рассчитывается исходя из величины максимальной мощности присоединяемых </w:t>
      </w:r>
      <w:proofErr w:type="spellStart"/>
      <w:r w:rsidR="00D26658" w:rsidRPr="00783C1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26658" w:rsidRPr="00783C17">
        <w:rPr>
          <w:rFonts w:ascii="Times New Roman" w:hAnsi="Times New Roman" w:cs="Times New Roman"/>
          <w:sz w:val="24"/>
          <w:szCs w:val="24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</w:t>
      </w:r>
      <w:r w:rsidR="009C33E7" w:rsidRPr="00783C17">
        <w:rPr>
          <w:rFonts w:ascii="Times New Roman" w:hAnsi="Times New Roman" w:cs="Times New Roman"/>
          <w:sz w:val="24"/>
          <w:szCs w:val="24"/>
        </w:rPr>
        <w:t>твенного регулирования тарифов.</w:t>
      </w:r>
    </w:p>
    <w:p w:rsidR="0058149F" w:rsidRPr="00783C17" w:rsidRDefault="00783C17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1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8C2E25" w:rsidRPr="00783C17">
        <w:rPr>
          <w:rFonts w:ascii="Times New Roman" w:hAnsi="Times New Roman" w:cs="Times New Roman"/>
          <w:sz w:val="24"/>
          <w:szCs w:val="24"/>
        </w:rPr>
        <w:t xml:space="preserve"> </w:t>
      </w:r>
      <w:r w:rsidR="00A97E79" w:rsidRPr="00A97E79">
        <w:rPr>
          <w:rFonts w:ascii="Times New Roman" w:hAnsi="Times New Roman" w:cs="Times New Roman"/>
          <w:sz w:val="24"/>
          <w:szCs w:val="24"/>
        </w:rPr>
        <w:t>заявитель направляет заявку на технологическое присоединение в сетевую организацию</w:t>
      </w:r>
      <w:r w:rsidR="0058149F" w:rsidRPr="00783C17">
        <w:rPr>
          <w:rFonts w:ascii="Times New Roman" w:hAnsi="Times New Roman" w:cs="Times New Roman"/>
          <w:sz w:val="24"/>
          <w:szCs w:val="24"/>
        </w:rPr>
        <w:t>.</w:t>
      </w:r>
    </w:p>
    <w:p w:rsidR="008C2E25" w:rsidRPr="00783C17" w:rsidRDefault="00783C17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17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8C2E25" w:rsidRPr="00783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783C17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 w:rsidRPr="00783C1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783C17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="00195358" w:rsidRPr="00783C1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783C17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="008C2E25" w:rsidRPr="00783C17">
        <w:rPr>
          <w:rFonts w:ascii="Times New Roman" w:hAnsi="Times New Roman" w:cs="Times New Roman"/>
          <w:sz w:val="24"/>
          <w:szCs w:val="24"/>
        </w:rPr>
        <w:t>.</w:t>
      </w:r>
    </w:p>
    <w:p w:rsidR="00FC33E3" w:rsidRPr="00783C17" w:rsidRDefault="00783C17" w:rsidP="00D266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3C17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783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783C17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783C1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783C17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783C17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783C17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783C1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783C17" w:rsidRDefault="00FC33E3" w:rsidP="00D266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83C17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783C17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195358" w:rsidRPr="00783C1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783C17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="00195358" w:rsidRPr="00783C17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783C17">
        <w:rPr>
          <w:rFonts w:ascii="Times New Roman" w:hAnsi="Times New Roman" w:cs="Times New Roman"/>
          <w:sz w:val="24"/>
          <w:szCs w:val="24"/>
        </w:rPr>
        <w:t xml:space="preserve"> с даты</w:t>
      </w:r>
      <w:proofErr w:type="gramEnd"/>
      <w:r w:rsidR="004F68F4" w:rsidRPr="00783C17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195358" w:rsidRPr="00783C17">
        <w:rPr>
          <w:rFonts w:ascii="Times New Roman" w:hAnsi="Times New Roman" w:cs="Times New Roman"/>
          <w:sz w:val="24"/>
          <w:szCs w:val="24"/>
        </w:rPr>
        <w:t>;</w:t>
      </w:r>
    </w:p>
    <w:p w:rsidR="00195358" w:rsidRDefault="00195358" w:rsidP="00D266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3C17">
        <w:rPr>
          <w:rFonts w:ascii="Times New Roman" w:hAnsi="Times New Roman" w:cs="Times New Roman"/>
          <w:sz w:val="24"/>
          <w:szCs w:val="24"/>
        </w:rPr>
        <w:t xml:space="preserve">в иных случаях – </w:t>
      </w:r>
      <w:r w:rsidR="00F4469B" w:rsidRPr="00783C17">
        <w:rPr>
          <w:rFonts w:ascii="Times New Roman" w:hAnsi="Times New Roman" w:cs="Times New Roman"/>
          <w:b/>
          <w:sz w:val="24"/>
          <w:szCs w:val="24"/>
        </w:rPr>
        <w:t>1</w:t>
      </w:r>
      <w:r w:rsidRPr="00783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9B" w:rsidRPr="00783C17">
        <w:rPr>
          <w:rFonts w:ascii="Times New Roman" w:hAnsi="Times New Roman" w:cs="Times New Roman"/>
          <w:b/>
          <w:sz w:val="24"/>
          <w:szCs w:val="24"/>
        </w:rPr>
        <w:t>год</w:t>
      </w:r>
      <w:r w:rsidR="004F68F4" w:rsidRPr="00783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783C1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783C1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26658" w:rsidRPr="00783C17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A97E79" w:rsidRDefault="00A97E79" w:rsidP="00A97E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7E79" w:rsidRDefault="00A97E79" w:rsidP="00A97E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7E79" w:rsidRPr="00A97E79" w:rsidRDefault="00A97E79" w:rsidP="00A97E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3C17" w:rsidRPr="00783C17" w:rsidRDefault="00783C17" w:rsidP="00783C1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783C17" w:rsidRDefault="00783C17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3C1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4888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2217"/>
        <w:gridCol w:w="2124"/>
        <w:gridCol w:w="2549"/>
        <w:gridCol w:w="2263"/>
        <w:gridCol w:w="1764"/>
        <w:gridCol w:w="2779"/>
      </w:tblGrid>
      <w:tr w:rsidR="00783C17" w:rsidRPr="00783C17" w:rsidTr="00783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auto"/>
          </w:tcPr>
          <w:p w:rsidR="00CA183B" w:rsidRPr="00783C17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783C17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9" w:type="pct"/>
            <w:shd w:val="clear" w:color="auto" w:fill="auto"/>
          </w:tcPr>
          <w:p w:rsidR="00CA183B" w:rsidRPr="00783C17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783C17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8" w:type="pct"/>
            <w:shd w:val="clear" w:color="auto" w:fill="auto"/>
          </w:tcPr>
          <w:p w:rsidR="00CA183B" w:rsidRPr="00783C17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783C17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80" w:type="pct"/>
            <w:shd w:val="clear" w:color="auto" w:fill="auto"/>
          </w:tcPr>
          <w:p w:rsidR="00CA183B" w:rsidRPr="00783C17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783C17" w:rsidRPr="00783C17" w:rsidTr="0078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A6398" w:rsidRPr="00783C17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A6398" w:rsidRPr="00783C17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A6398" w:rsidRPr="00783C17" w:rsidRDefault="00FA639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A6398" w:rsidRPr="00783C17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FA6398" w:rsidRPr="00783C17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A6398" w:rsidRPr="00783C17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A6398" w:rsidRPr="00783C17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A6398" w:rsidRPr="00783C17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A6398" w:rsidRPr="00783C17" w:rsidRDefault="00FA6398" w:rsidP="00D26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Пункты  8, 9, 10,12, 14 Правил технологического присоединения </w:t>
            </w:r>
            <w:proofErr w:type="spellStart"/>
            <w:r w:rsidRPr="00783C1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83C1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783C17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783C17">
              <w:rPr>
                <w:rFonts w:ascii="Times New Roman" w:hAnsi="Times New Roman" w:cs="Times New Roman"/>
              </w:rPr>
              <w:t>.</w:t>
            </w:r>
          </w:p>
        </w:tc>
      </w:tr>
      <w:tr w:rsidR="00783C17" w:rsidRPr="00783C17" w:rsidTr="00783C1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FA6398" w:rsidRPr="00783C17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6398" w:rsidRPr="00783C17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shd w:val="clear" w:color="auto" w:fill="auto"/>
          </w:tcPr>
          <w:p w:rsidR="00FA6398" w:rsidRPr="00783C17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6398" w:rsidRPr="00783C17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8" w:type="pct"/>
            <w:shd w:val="clear" w:color="auto" w:fill="auto"/>
          </w:tcPr>
          <w:p w:rsidR="00FA6398" w:rsidRPr="00783C17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6398" w:rsidRPr="00783C17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80" w:type="pct"/>
            <w:shd w:val="clear" w:color="auto" w:fill="auto"/>
          </w:tcPr>
          <w:p w:rsidR="00FA6398" w:rsidRPr="00783C17" w:rsidRDefault="00FA6398" w:rsidP="00783C1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 15 Правил </w:t>
            </w:r>
            <w:r w:rsidR="00783C17" w:rsidRPr="00783C17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="00783C17" w:rsidRPr="00783C1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783C17" w:rsidRPr="00783C17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 (далее – Правила).</w:t>
            </w:r>
          </w:p>
        </w:tc>
      </w:tr>
      <w:tr w:rsidR="00783C17" w:rsidRPr="00783C17" w:rsidTr="0078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783C17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783C17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783C17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783C17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сетевой организацией проекта договора об 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783C17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</w:t>
            </w:r>
            <w:r w:rsidRPr="00783C17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783C17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:rsidR="002C56E2" w:rsidRPr="00783C17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(документов) 30 дней </w:t>
            </w:r>
            <w:proofErr w:type="gramStart"/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783C17" w:rsidRDefault="002C56E2" w:rsidP="00783C1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</w:p>
        </w:tc>
      </w:tr>
      <w:tr w:rsidR="00783C17" w:rsidRPr="00783C17" w:rsidTr="00783C1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2C56E2" w:rsidRPr="00783C17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783C17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2C56E2" w:rsidRPr="00783C17" w:rsidRDefault="002C56E2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783C17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783C17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  <w:shd w:val="clear" w:color="auto" w:fill="auto"/>
          </w:tcPr>
          <w:p w:rsidR="002C56E2" w:rsidRPr="00783C17" w:rsidRDefault="002C56E2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783C17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783C17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80" w:type="pct"/>
            <w:shd w:val="clear" w:color="auto" w:fill="auto"/>
          </w:tcPr>
          <w:p w:rsidR="002C56E2" w:rsidRPr="00783C17" w:rsidRDefault="002C56E2" w:rsidP="00783C1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783C17" w:rsidRPr="00783C17" w:rsidTr="0078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 от заявителя мотивированного отказа от подписания проекта договора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783C17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обслуживания </w:t>
            </w:r>
            <w:r w:rsidRPr="00783C17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783C1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783C17" w:rsidRPr="00783C17" w:rsidTr="00783C1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D26658" w:rsidRPr="00783C1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83C17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8" w:type="pct"/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80" w:type="pct"/>
            <w:shd w:val="clear" w:color="auto" w:fill="auto"/>
          </w:tcPr>
          <w:p w:rsidR="00D26658" w:rsidRPr="00783C17" w:rsidRDefault="00783C17" w:rsidP="00783C1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15 Правил</w:t>
            </w:r>
          </w:p>
        </w:tc>
      </w:tr>
      <w:tr w:rsidR="00783C17" w:rsidRPr="00783C17" w:rsidTr="0078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783C1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783C17" w:rsidRPr="00783C17" w:rsidTr="00783C1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D26658" w:rsidRPr="00783C1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83C17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3C17" w:rsidRPr="00783C17" w:rsidTr="0078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83C17">
              <w:rPr>
                <w:rFonts w:ascii="Times New Roman" w:hAnsi="Times New Roman" w:cs="Times New Roman"/>
              </w:rPr>
              <w:t xml:space="preserve">Выполнение заявителем мероприятий, предусмотренных </w:t>
            </w:r>
            <w:r w:rsidRPr="00783C17">
              <w:rPr>
                <w:rFonts w:ascii="Times New Roman" w:hAnsi="Times New Roman" w:cs="Times New Roman"/>
              </w:rPr>
              <w:lastRenderedPageBreak/>
              <w:t>договором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3C17" w:rsidRPr="00783C17" w:rsidTr="00783C1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D26658" w:rsidRPr="00783C1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83C17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D26658" w:rsidRPr="00E26490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6490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D26658" w:rsidRPr="00E26490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6490">
              <w:rPr>
                <w:rFonts w:ascii="Times New Roman" w:hAnsi="Times New Roman" w:cs="Times New Roman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D26658" w:rsidRPr="00E26490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6490">
              <w:rPr>
                <w:rFonts w:ascii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D26658" w:rsidRPr="00E26490" w:rsidRDefault="00D26658" w:rsidP="00E2649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490">
              <w:rPr>
                <w:rFonts w:ascii="Times New Roman" w:hAnsi="Times New Roman" w:cs="Times New Roman"/>
              </w:rPr>
              <w:lastRenderedPageBreak/>
              <w:t>г) нормальные (временные нормальные) схемы электрических соединений объекта электроэнергетики</w:t>
            </w:r>
          </w:p>
          <w:p w:rsidR="00E26490" w:rsidRPr="00E26490" w:rsidRDefault="00E26490" w:rsidP="00E2649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490">
              <w:t>(</w:t>
            </w:r>
            <w:r w:rsidRPr="00E26490">
              <w:rPr>
                <w:rFonts w:ascii="Times New Roman" w:hAnsi="Times New Roman" w:cs="Times New Roman"/>
              </w:rPr>
              <w:t>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      </w:r>
            <w:proofErr w:type="gramStart"/>
            <w:r w:rsidRPr="00E2649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6490">
              <w:rPr>
                <w:rFonts w:ascii="Times New Roman" w:hAnsi="Times New Roman" w:cs="Times New Roman"/>
              </w:rPr>
              <w:t xml:space="preserve">, осветительные установки, переносное электрооборудование и </w:t>
            </w:r>
            <w:proofErr w:type="spellStart"/>
            <w:r w:rsidRPr="00E26490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E26490">
              <w:rPr>
                <w:rFonts w:ascii="Times New Roman" w:hAnsi="Times New Roman" w:cs="Times New Roman"/>
              </w:rPr>
              <w:t xml:space="preserve"> устройства номинальным напряжением не выше 380 В)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80" w:type="pct"/>
            <w:shd w:val="clear" w:color="auto" w:fill="auto"/>
          </w:tcPr>
          <w:p w:rsidR="00D26658" w:rsidRPr="00783C17" w:rsidRDefault="00D26658" w:rsidP="00783C1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Пункты 85, 86 Правил </w:t>
            </w:r>
          </w:p>
        </w:tc>
      </w:tr>
      <w:tr w:rsidR="00783C17" w:rsidRPr="00783C17" w:rsidTr="0078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783C17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</w:t>
            </w:r>
            <w:r w:rsidRPr="00783C17">
              <w:rPr>
                <w:rFonts w:ascii="Times New Roman" w:hAnsi="Times New Roman" w:cs="Times New Roman"/>
              </w:rPr>
              <w:lastRenderedPageBreak/>
              <w:t>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213172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D26658" w:rsidRPr="00783C17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783C17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</w:t>
            </w:r>
            <w:r w:rsidRPr="00783C17">
              <w:rPr>
                <w:rFonts w:ascii="Times New Roman" w:hAnsi="Times New Roman" w:cs="Times New Roman"/>
              </w:rPr>
              <w:lastRenderedPageBreak/>
              <w:t>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783C1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Пункты 83-89 Правил </w:t>
            </w:r>
          </w:p>
        </w:tc>
      </w:tr>
      <w:tr w:rsidR="00783C17" w:rsidRPr="00783C17" w:rsidTr="00783C1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D26658" w:rsidRPr="00783C1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10 </w:t>
            </w:r>
            <w:proofErr w:type="spellStart"/>
            <w:r w:rsidRPr="00783C17">
              <w:rPr>
                <w:rFonts w:ascii="Times New Roman" w:hAnsi="Times New Roman" w:cs="Times New Roman"/>
              </w:rPr>
              <w:t>кВ</w:t>
            </w:r>
            <w:proofErr w:type="spellEnd"/>
            <w:r w:rsidRPr="00783C17">
              <w:rPr>
                <w:rFonts w:ascii="Times New Roman" w:hAnsi="Times New Roman" w:cs="Times New Roman"/>
              </w:rPr>
              <w:t xml:space="preserve"> включительно </w:t>
            </w:r>
          </w:p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783C17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798" w:type="pct"/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80" w:type="pct"/>
            <w:shd w:val="clear" w:color="auto" w:fill="auto"/>
          </w:tcPr>
          <w:p w:rsidR="00D26658" w:rsidRPr="00783C17" w:rsidRDefault="00D26658" w:rsidP="00E2649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Пункты 18(1), 18(2) Правил </w:t>
            </w:r>
          </w:p>
        </w:tc>
      </w:tr>
      <w:tr w:rsidR="00783C17" w:rsidRPr="00783C17" w:rsidTr="0078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</w:t>
            </w:r>
            <w:r w:rsidRPr="00783C17">
              <w:rPr>
                <w:rFonts w:ascii="Times New Roman" w:hAnsi="Times New Roman" w:cs="Times New Roman"/>
              </w:rPr>
              <w:lastRenderedPageBreak/>
              <w:t>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4.3.</w:t>
            </w:r>
            <w:r w:rsidRPr="00783C17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213172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D26658" w:rsidRPr="00783C17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783C17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783C17">
              <w:rPr>
                <w:rFonts w:ascii="Times New Roman" w:hAnsi="Times New Roman" w:cs="Times New Roman"/>
              </w:rPr>
              <w:t xml:space="preserve">от заявителя уведомления об устранении замечаний с приложением информации о </w:t>
            </w:r>
            <w:r w:rsidRPr="00783C17">
              <w:rPr>
                <w:rFonts w:ascii="Times New Roman" w:hAnsi="Times New Roman" w:cs="Times New Roman"/>
              </w:rPr>
              <w:lastRenderedPageBreak/>
              <w:t>принятых мерах по их устранению</w:t>
            </w:r>
            <w:proofErr w:type="gramEnd"/>
            <w:r w:rsidRPr="00783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E2649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lastRenderedPageBreak/>
              <w:t xml:space="preserve">Пункты 89 Правил </w:t>
            </w:r>
          </w:p>
        </w:tc>
      </w:tr>
      <w:tr w:rsidR="00783C17" w:rsidRPr="00783C17" w:rsidTr="00783C1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D26658" w:rsidRPr="00783C1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783C17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8" w:type="pct"/>
            <w:shd w:val="clear" w:color="auto" w:fill="auto"/>
          </w:tcPr>
          <w:p w:rsidR="00D26658" w:rsidRPr="00783C17" w:rsidRDefault="00213172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D26658" w:rsidRPr="00783C17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783C17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80" w:type="pct"/>
            <w:shd w:val="clear" w:color="auto" w:fill="auto"/>
          </w:tcPr>
          <w:p w:rsidR="00D26658" w:rsidRPr="00E26490" w:rsidRDefault="00D26658" w:rsidP="00E2649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6490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E26490">
              <w:t xml:space="preserve"> </w:t>
            </w:r>
            <w:r w:rsidRPr="00E26490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E26490" w:rsidRPr="00E26490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</w:t>
            </w:r>
            <w:r w:rsidR="00E26490" w:rsidRPr="00E26490">
              <w:rPr>
                <w:rFonts w:ascii="Times New Roman" w:hAnsi="Times New Roman" w:cs="Times New Roman"/>
              </w:rPr>
              <w:t>постановлением Правительства РФ от 04.05.2012 № 442</w:t>
            </w:r>
            <w:r w:rsidR="00E26490">
              <w:rPr>
                <w:rFonts w:ascii="Times New Roman" w:hAnsi="Times New Roman" w:cs="Times New Roman"/>
              </w:rPr>
              <w:t>.</w:t>
            </w:r>
          </w:p>
        </w:tc>
      </w:tr>
      <w:tr w:rsidR="00783C17" w:rsidRPr="00783C17" w:rsidTr="0078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783C17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83C17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E2649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 87 Правил </w:t>
            </w:r>
          </w:p>
        </w:tc>
      </w:tr>
      <w:tr w:rsidR="00783C17" w:rsidRPr="00783C17" w:rsidTr="00783C1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D26658" w:rsidRPr="00783C1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4.4. </w:t>
            </w:r>
            <w:r w:rsidRPr="00783C17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83C17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</w:t>
            </w:r>
            <w:r w:rsidRPr="00783C17">
              <w:rPr>
                <w:rFonts w:ascii="Times New Roman" w:hAnsi="Times New Roman" w:cs="Times New Roman"/>
              </w:rPr>
              <w:lastRenderedPageBreak/>
              <w:t>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lastRenderedPageBreak/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0" w:type="pct"/>
            <w:shd w:val="clear" w:color="auto" w:fill="auto"/>
          </w:tcPr>
          <w:p w:rsidR="00D26658" w:rsidRPr="00783C17" w:rsidRDefault="00D26658" w:rsidP="00E2649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Пункты 88 Правил </w:t>
            </w:r>
          </w:p>
        </w:tc>
      </w:tr>
      <w:tr w:rsidR="00783C17" w:rsidRPr="00783C17" w:rsidTr="0078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783C17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E2649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Пункты 7, 18 Правил </w:t>
            </w:r>
          </w:p>
        </w:tc>
      </w:tr>
      <w:tr w:rsidR="00783C17" w:rsidRPr="00783C17" w:rsidTr="00783C1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:rsidR="00D26658" w:rsidRPr="00783C1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783C17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8" w:type="pct"/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783C1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83C17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shd w:val="clear" w:color="auto" w:fill="auto"/>
          </w:tcPr>
          <w:p w:rsidR="00D26658" w:rsidRPr="00783C17" w:rsidRDefault="00D26658" w:rsidP="00E2649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hAnsi="Times New Roman" w:cs="Times New Roman"/>
              </w:rPr>
              <w:t xml:space="preserve">Пункт 19 Правил </w:t>
            </w:r>
          </w:p>
        </w:tc>
      </w:tr>
      <w:tr w:rsidR="00783C17" w:rsidRPr="00783C17" w:rsidTr="0078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783C17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783C17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783C17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6658" w:rsidRPr="00783C17" w:rsidRDefault="00D26658" w:rsidP="00D26658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C17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D26658">
            <w:r w:rsidRPr="00783C17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6658" w:rsidRPr="00783C17" w:rsidRDefault="00D26658" w:rsidP="00E2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C17">
              <w:rPr>
                <w:rFonts w:ascii="Times New Roman" w:hAnsi="Times New Roman" w:cs="Times New Roman"/>
              </w:rPr>
              <w:t xml:space="preserve">Пункт 19 (1) Правил </w:t>
            </w:r>
          </w:p>
        </w:tc>
      </w:tr>
    </w:tbl>
    <w:p w:rsidR="00CA183B" w:rsidRPr="00783C17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CA183B" w:rsidRPr="00783C1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72" w:rsidRDefault="00213172" w:rsidP="00DC7CA8">
      <w:pPr>
        <w:spacing w:after="0" w:line="240" w:lineRule="auto"/>
      </w:pPr>
      <w:r>
        <w:separator/>
      </w:r>
    </w:p>
  </w:endnote>
  <w:endnote w:type="continuationSeparator" w:id="0">
    <w:p w:rsidR="00213172" w:rsidRDefault="0021317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72" w:rsidRDefault="00213172" w:rsidP="00DC7CA8">
      <w:pPr>
        <w:spacing w:after="0" w:line="240" w:lineRule="auto"/>
      </w:pPr>
      <w:r>
        <w:separator/>
      </w:r>
    </w:p>
  </w:footnote>
  <w:footnote w:type="continuationSeparator" w:id="0">
    <w:p w:rsidR="00213172" w:rsidRDefault="00213172" w:rsidP="00DC7CA8">
      <w:pPr>
        <w:spacing w:after="0" w:line="240" w:lineRule="auto"/>
      </w:pPr>
      <w:r>
        <w:continuationSeparator/>
      </w:r>
    </w:p>
  </w:footnote>
  <w:footnote w:id="1">
    <w:p w:rsidR="00FA6398" w:rsidRDefault="00FA6398" w:rsidP="006967D4">
      <w:pPr>
        <w:pStyle w:val="ac"/>
      </w:pPr>
      <w:r>
        <w:rPr>
          <w:rStyle w:val="ae"/>
        </w:rPr>
        <w:footnoteRef/>
      </w:r>
      <w:r>
        <w:t xml:space="preserve"> </w:t>
      </w:r>
      <w:r w:rsidRPr="00996EE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EEC">
        <w:rPr>
          <w:rFonts w:ascii="Times New Roman" w:hAnsi="Times New Roman" w:cs="Times New Roman"/>
          <w:sz w:val="26"/>
          <w:szCs w:val="2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C2731"/>
    <w:rsid w:val="000C3C93"/>
    <w:rsid w:val="000C69B2"/>
    <w:rsid w:val="000D0D64"/>
    <w:rsid w:val="000E710C"/>
    <w:rsid w:val="00121F2F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D45A0"/>
    <w:rsid w:val="00206CD3"/>
    <w:rsid w:val="00213172"/>
    <w:rsid w:val="0022778E"/>
    <w:rsid w:val="00231805"/>
    <w:rsid w:val="00233155"/>
    <w:rsid w:val="00242530"/>
    <w:rsid w:val="00251BEC"/>
    <w:rsid w:val="0029622E"/>
    <w:rsid w:val="002963F2"/>
    <w:rsid w:val="002978AF"/>
    <w:rsid w:val="002A0F3D"/>
    <w:rsid w:val="002A16A3"/>
    <w:rsid w:val="002A3BA1"/>
    <w:rsid w:val="002A4954"/>
    <w:rsid w:val="002A5552"/>
    <w:rsid w:val="002C24EC"/>
    <w:rsid w:val="002C56E2"/>
    <w:rsid w:val="0032200A"/>
    <w:rsid w:val="0032230E"/>
    <w:rsid w:val="00326913"/>
    <w:rsid w:val="00347A15"/>
    <w:rsid w:val="0037161F"/>
    <w:rsid w:val="003A30D0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A4D60"/>
    <w:rsid w:val="004B75E4"/>
    <w:rsid w:val="004D2FC8"/>
    <w:rsid w:val="004F68F4"/>
    <w:rsid w:val="0051045A"/>
    <w:rsid w:val="0051352D"/>
    <w:rsid w:val="00524428"/>
    <w:rsid w:val="00534E9A"/>
    <w:rsid w:val="00557796"/>
    <w:rsid w:val="0058149F"/>
    <w:rsid w:val="00584BD8"/>
    <w:rsid w:val="005B627E"/>
    <w:rsid w:val="005C22A7"/>
    <w:rsid w:val="005C6A82"/>
    <w:rsid w:val="005E5AAE"/>
    <w:rsid w:val="005F2F3E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82244"/>
    <w:rsid w:val="00690D12"/>
    <w:rsid w:val="00693797"/>
    <w:rsid w:val="006967D4"/>
    <w:rsid w:val="006A3ACA"/>
    <w:rsid w:val="006B6114"/>
    <w:rsid w:val="006D2EDE"/>
    <w:rsid w:val="006F2514"/>
    <w:rsid w:val="006F446F"/>
    <w:rsid w:val="0070128B"/>
    <w:rsid w:val="00762B2B"/>
    <w:rsid w:val="00776C32"/>
    <w:rsid w:val="0078335E"/>
    <w:rsid w:val="00783C17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32A84"/>
    <w:rsid w:val="00863174"/>
    <w:rsid w:val="0086326F"/>
    <w:rsid w:val="008C2E25"/>
    <w:rsid w:val="008C64E4"/>
    <w:rsid w:val="008D2E8D"/>
    <w:rsid w:val="008E16CB"/>
    <w:rsid w:val="009001F4"/>
    <w:rsid w:val="00904E58"/>
    <w:rsid w:val="00996EEC"/>
    <w:rsid w:val="009C0D2C"/>
    <w:rsid w:val="009C33E7"/>
    <w:rsid w:val="009D7322"/>
    <w:rsid w:val="00A22C5F"/>
    <w:rsid w:val="00A44E14"/>
    <w:rsid w:val="00A474DD"/>
    <w:rsid w:val="00A61E75"/>
    <w:rsid w:val="00A705D8"/>
    <w:rsid w:val="00A97E79"/>
    <w:rsid w:val="00AC3BB0"/>
    <w:rsid w:val="00AE08E3"/>
    <w:rsid w:val="00AF67C0"/>
    <w:rsid w:val="00B04094"/>
    <w:rsid w:val="00B118E9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1C4D"/>
    <w:rsid w:val="00BE7298"/>
    <w:rsid w:val="00C02B7A"/>
    <w:rsid w:val="00C05A4F"/>
    <w:rsid w:val="00C20511"/>
    <w:rsid w:val="00C2064F"/>
    <w:rsid w:val="00C25F4B"/>
    <w:rsid w:val="00C379FF"/>
    <w:rsid w:val="00C458B0"/>
    <w:rsid w:val="00C514F8"/>
    <w:rsid w:val="00C7174A"/>
    <w:rsid w:val="00C74D96"/>
    <w:rsid w:val="00C75E65"/>
    <w:rsid w:val="00CA183B"/>
    <w:rsid w:val="00CA1E91"/>
    <w:rsid w:val="00CC1A0A"/>
    <w:rsid w:val="00CC211B"/>
    <w:rsid w:val="00CC55AC"/>
    <w:rsid w:val="00CF1785"/>
    <w:rsid w:val="00D1019A"/>
    <w:rsid w:val="00D26658"/>
    <w:rsid w:val="00D34055"/>
    <w:rsid w:val="00D37687"/>
    <w:rsid w:val="00D46EE5"/>
    <w:rsid w:val="00D47D80"/>
    <w:rsid w:val="00D50811"/>
    <w:rsid w:val="00D50CC7"/>
    <w:rsid w:val="00D679FC"/>
    <w:rsid w:val="00D73C9D"/>
    <w:rsid w:val="00DC03DD"/>
    <w:rsid w:val="00DC7CA8"/>
    <w:rsid w:val="00E01206"/>
    <w:rsid w:val="00E063CF"/>
    <w:rsid w:val="00E20DAF"/>
    <w:rsid w:val="00E26490"/>
    <w:rsid w:val="00E36F56"/>
    <w:rsid w:val="00E5056E"/>
    <w:rsid w:val="00E53D9B"/>
    <w:rsid w:val="00E557B2"/>
    <w:rsid w:val="00E70070"/>
    <w:rsid w:val="00E70F7F"/>
    <w:rsid w:val="00EA53BE"/>
    <w:rsid w:val="00EA72EC"/>
    <w:rsid w:val="00EC6F80"/>
    <w:rsid w:val="00ED42E7"/>
    <w:rsid w:val="00EE2C63"/>
    <w:rsid w:val="00F4184B"/>
    <w:rsid w:val="00F4469B"/>
    <w:rsid w:val="00F87578"/>
    <w:rsid w:val="00FA6398"/>
    <w:rsid w:val="00FC139B"/>
    <w:rsid w:val="00FC1E5A"/>
    <w:rsid w:val="00FC33E3"/>
    <w:rsid w:val="00FD433D"/>
    <w:rsid w:val="00FE0A69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A72EC"/>
    <w:rPr>
      <w:color w:val="0000FF" w:themeColor="hyperlink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E2649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2649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264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A72EC"/>
    <w:rPr>
      <w:color w:val="0000FF" w:themeColor="hyperlink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E2649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2649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26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AB57-E170-4276-9157-8F64CEDC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Гольцева О.Г.</cp:lastModifiedBy>
  <cp:revision>3</cp:revision>
  <cp:lastPrinted>2014-08-01T10:40:00Z</cp:lastPrinted>
  <dcterms:created xsi:type="dcterms:W3CDTF">2016-09-06T07:33:00Z</dcterms:created>
  <dcterms:modified xsi:type="dcterms:W3CDTF">2016-09-06T11:21:00Z</dcterms:modified>
</cp:coreProperties>
</file>